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B96B9" w14:textId="6CA06C33" w:rsidR="00C23392" w:rsidRDefault="00C23392" w:rsidP="00C23392">
      <w:pPr>
        <w:spacing w:after="0" w:line="360" w:lineRule="auto"/>
        <w:jc w:val="right"/>
        <w:rPr>
          <w:b/>
          <w:bCs/>
        </w:rPr>
      </w:pPr>
      <w:r w:rsidRPr="00C23392">
        <w:rPr>
          <w:b/>
          <w:bCs/>
        </w:rPr>
        <w:drawing>
          <wp:inline distT="0" distB="0" distL="0" distR="0" wp14:anchorId="6163E0A7" wp14:editId="26B53C35">
            <wp:extent cx="1713385" cy="613434"/>
            <wp:effectExtent l="0" t="0" r="1270" b="0"/>
            <wp:docPr id="125" name="Graphic 124">
              <a:extLst xmlns:a="http://schemas.openxmlformats.org/drawingml/2006/main">
                <a:ext uri="{FF2B5EF4-FFF2-40B4-BE49-F238E27FC236}">
                  <a16:creationId xmlns:a16="http://schemas.microsoft.com/office/drawing/2014/main" id="{F4F29C63-ABE4-B854-5DFF-E180717D95D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Graphic 124">
                      <a:extLst>
                        <a:ext uri="{FF2B5EF4-FFF2-40B4-BE49-F238E27FC236}">
                          <a16:creationId xmlns:a16="http://schemas.microsoft.com/office/drawing/2014/main" id="{F4F29C63-ABE4-B854-5DFF-E180717D95DE}"/>
                        </a:ext>
                      </a:extLst>
                    </pic:cNvPr>
                    <pic:cNvPicPr>
                      <a:picLocks noChangeAspect="1"/>
                    </pic:cNvPicPr>
                  </pic:nvPicPr>
                  <pic:blipFill>
                    <a:blip r:embed="rId5">
                      <a:extLst>
                        <a:ext uri="{28A0092B-C50C-407E-A947-70E740481C1C}">
                          <a14:useLocalDpi xmlns:a14="http://schemas.microsoft.com/office/drawing/2010/main"/>
                        </a:ext>
                        <a:ext uri="{96DAC541-7B7A-43D3-8B79-37D633B846F1}">
                          <asvg:svgBlip xmlns:asvg="http://schemas.microsoft.com/office/drawing/2016/SVG/main" r:embed="rId6"/>
                        </a:ext>
                      </a:extLst>
                    </a:blip>
                    <a:stretch>
                      <a:fillRect/>
                    </a:stretch>
                  </pic:blipFill>
                  <pic:spPr>
                    <a:xfrm>
                      <a:off x="0" y="0"/>
                      <a:ext cx="1761709" cy="630735"/>
                    </a:xfrm>
                    <a:prstGeom prst="rect">
                      <a:avLst/>
                    </a:prstGeom>
                  </pic:spPr>
                </pic:pic>
              </a:graphicData>
            </a:graphic>
          </wp:inline>
        </w:drawing>
      </w:r>
    </w:p>
    <w:p w14:paraId="7B361DF6" w14:textId="77777777" w:rsidR="00B830E2" w:rsidRDefault="00B830E2" w:rsidP="00C23392">
      <w:pPr>
        <w:spacing w:after="0" w:line="360" w:lineRule="auto"/>
        <w:jc w:val="center"/>
        <w:rPr>
          <w:b/>
          <w:bCs/>
        </w:rPr>
      </w:pPr>
    </w:p>
    <w:p w14:paraId="7A3495B4" w14:textId="11D388DC" w:rsidR="003E7D82" w:rsidRDefault="005C57FC" w:rsidP="00C23392">
      <w:pPr>
        <w:spacing w:after="0" w:line="360" w:lineRule="auto"/>
        <w:jc w:val="center"/>
        <w:rPr>
          <w:b/>
          <w:bCs/>
        </w:rPr>
      </w:pPr>
      <w:r w:rsidRPr="00C23392">
        <w:rPr>
          <w:b/>
          <w:bCs/>
        </w:rPr>
        <w:t>Cancer Waiting Times (CWT) V12.1 Launch</w:t>
      </w:r>
    </w:p>
    <w:p w14:paraId="40302644" w14:textId="072153C4" w:rsidR="00C23392" w:rsidRPr="00C23392" w:rsidRDefault="00C23392" w:rsidP="00C23392">
      <w:pPr>
        <w:spacing w:after="0" w:line="360" w:lineRule="auto"/>
        <w:jc w:val="center"/>
        <w:rPr>
          <w:b/>
          <w:bCs/>
        </w:rPr>
      </w:pPr>
      <w:r>
        <w:rPr>
          <w:b/>
          <w:bCs/>
        </w:rPr>
        <w:t>Communication Briefing – 14.04.25</w:t>
      </w:r>
    </w:p>
    <w:p w14:paraId="4640A15F" w14:textId="77777777" w:rsidR="005C57FC" w:rsidRDefault="005C57FC"/>
    <w:p w14:paraId="76E7DFD7" w14:textId="1FAFFF98" w:rsidR="005C57FC" w:rsidRDefault="005C57FC" w:rsidP="00C31304">
      <w:pPr>
        <w:spacing w:after="0" w:line="360" w:lineRule="auto"/>
        <w:jc w:val="both"/>
      </w:pPr>
      <w:r>
        <w:t xml:space="preserve">CWT V12.1 launched </w:t>
      </w:r>
      <w:r w:rsidR="005046DF">
        <w:t>Wednesday 09 April 2025</w:t>
      </w:r>
      <w:proofErr w:type="gramStart"/>
      <w:r w:rsidR="005046DF">
        <w:t xml:space="preserve">.  </w:t>
      </w:r>
      <w:proofErr w:type="gramEnd"/>
      <w:r w:rsidR="005046DF">
        <w:t>There are a range of changes</w:t>
      </w:r>
      <w:r w:rsidR="00371340">
        <w:t xml:space="preserve"> and updates</w:t>
      </w:r>
      <w:r w:rsidR="005046DF">
        <w:t xml:space="preserve"> to the published guidance</w:t>
      </w:r>
      <w:proofErr w:type="gramStart"/>
      <w:r w:rsidR="005046DF">
        <w:t xml:space="preserve">.  </w:t>
      </w:r>
      <w:proofErr w:type="gramEnd"/>
      <w:r w:rsidR="00371340">
        <w:t>Those p</w:t>
      </w:r>
      <w:r w:rsidR="005046DF">
        <w:t>rovid</w:t>
      </w:r>
      <w:r w:rsidR="00371340">
        <w:t>ing</w:t>
      </w:r>
      <w:r w:rsidR="005046DF">
        <w:t xml:space="preserve"> stronger emphasis to existing guidance to make interpretation less ambiguous</w:t>
      </w:r>
      <w:r w:rsidR="00371340">
        <w:t xml:space="preserve"> are for </w:t>
      </w:r>
      <w:r w:rsidR="005046DF">
        <w:t>immediate implementation, as they do not ‘change’ the guidance.</w:t>
      </w:r>
    </w:p>
    <w:p w14:paraId="68358DD5" w14:textId="77777777" w:rsidR="00AF21D3" w:rsidRDefault="00AF21D3" w:rsidP="00C31304">
      <w:pPr>
        <w:spacing w:after="0" w:line="360" w:lineRule="auto"/>
        <w:jc w:val="both"/>
      </w:pPr>
    </w:p>
    <w:p w14:paraId="59C7BABA" w14:textId="4E6CA66E" w:rsidR="00371340" w:rsidRDefault="00C31304" w:rsidP="00C31304">
      <w:pPr>
        <w:spacing w:after="0" w:line="360" w:lineRule="auto"/>
        <w:jc w:val="both"/>
      </w:pPr>
      <w:r>
        <w:t>C</w:t>
      </w:r>
      <w:r w:rsidR="00371340">
        <w:t>hanges to the guidance are for implementation 01 July 2025</w:t>
      </w:r>
      <w:proofErr w:type="gramStart"/>
      <w:r w:rsidR="00371340">
        <w:t xml:space="preserve">.  </w:t>
      </w:r>
      <w:proofErr w:type="gramEnd"/>
      <w:r w:rsidR="00371340">
        <w:t xml:space="preserve">This means for </w:t>
      </w:r>
      <w:r w:rsidR="00AF21D3">
        <w:t xml:space="preserve">that </w:t>
      </w:r>
      <w:r w:rsidR="00371340">
        <w:t xml:space="preserve">some patients, their </w:t>
      </w:r>
      <w:r w:rsidR="00AF21D3">
        <w:t xml:space="preserve">62 day RTT </w:t>
      </w:r>
      <w:r w:rsidR="00371340">
        <w:t xml:space="preserve">clock will have commenced under the existing guidance, but their treatment will be subject to the new guidance if they are </w:t>
      </w:r>
      <w:r w:rsidR="00CA5851">
        <w:t>treated</w:t>
      </w:r>
      <w:r w:rsidR="00371340">
        <w:t xml:space="preserve"> beyond 01 July</w:t>
      </w:r>
      <w:proofErr w:type="gramStart"/>
      <w:r w:rsidR="00371340">
        <w:t xml:space="preserve">.  </w:t>
      </w:r>
      <w:proofErr w:type="gramEnd"/>
    </w:p>
    <w:p w14:paraId="6D8F5B16" w14:textId="77777777" w:rsidR="00371340" w:rsidRDefault="00371340" w:rsidP="00C31304">
      <w:pPr>
        <w:spacing w:after="0" w:line="360" w:lineRule="auto"/>
        <w:jc w:val="both"/>
      </w:pPr>
    </w:p>
    <w:p w14:paraId="1CBA76D7" w14:textId="42926678" w:rsidR="00371340" w:rsidRDefault="00371340" w:rsidP="00C31304">
      <w:pPr>
        <w:spacing w:after="0" w:line="360" w:lineRule="auto"/>
        <w:jc w:val="both"/>
      </w:pPr>
      <w:r>
        <w:t xml:space="preserve">The following </w:t>
      </w:r>
      <w:r w:rsidR="00C23392">
        <w:t xml:space="preserve">table </w:t>
      </w:r>
      <w:r>
        <w:t xml:space="preserve">summarises the areas where the wording has </w:t>
      </w:r>
      <w:proofErr w:type="gramStart"/>
      <w:r>
        <w:t xml:space="preserve">been </w:t>
      </w:r>
      <w:r w:rsidR="00AF21D3">
        <w:t>altered</w:t>
      </w:r>
      <w:proofErr w:type="gramEnd"/>
      <w:r>
        <w:t xml:space="preserve"> to reduce ambiguity, and therefore for </w:t>
      </w:r>
      <w:r w:rsidRPr="00C23392">
        <w:rPr>
          <w:u w:val="single"/>
        </w:rPr>
        <w:t>immediate implementation</w:t>
      </w:r>
      <w:r>
        <w:t>.</w:t>
      </w:r>
    </w:p>
    <w:p w14:paraId="2EEDD311" w14:textId="77777777" w:rsidR="00371340" w:rsidRDefault="00371340" w:rsidP="00C31304">
      <w:pPr>
        <w:spacing w:after="0" w:line="360" w:lineRule="auto"/>
        <w:jc w:val="both"/>
      </w:pPr>
    </w:p>
    <w:tbl>
      <w:tblPr>
        <w:tblStyle w:val="TableGrid"/>
        <w:tblW w:w="10627" w:type="dxa"/>
        <w:tblLook w:val="04A0" w:firstRow="1" w:lastRow="0" w:firstColumn="1" w:lastColumn="0" w:noHBand="0" w:noVBand="1"/>
      </w:tblPr>
      <w:tblGrid>
        <w:gridCol w:w="2689"/>
        <w:gridCol w:w="1417"/>
        <w:gridCol w:w="6521"/>
      </w:tblGrid>
      <w:tr w:rsidR="000A1ADD" w14:paraId="2DBBBBB1" w14:textId="77777777" w:rsidTr="00C23392">
        <w:tc>
          <w:tcPr>
            <w:tcW w:w="2689" w:type="dxa"/>
            <w:shd w:val="clear" w:color="auto" w:fill="DAE9F7" w:themeFill="text2" w:themeFillTint="1A"/>
          </w:tcPr>
          <w:p w14:paraId="7759C535" w14:textId="22420FC6" w:rsidR="000A1ADD" w:rsidRDefault="000A1ADD">
            <w:r>
              <w:t>Pathway Section</w:t>
            </w:r>
          </w:p>
        </w:tc>
        <w:tc>
          <w:tcPr>
            <w:tcW w:w="1417" w:type="dxa"/>
            <w:shd w:val="clear" w:color="auto" w:fill="DAE9F7" w:themeFill="text2" w:themeFillTint="1A"/>
          </w:tcPr>
          <w:p w14:paraId="49EF69BB" w14:textId="31FA1F49" w:rsidR="000A1ADD" w:rsidRDefault="000A1ADD">
            <w:r>
              <w:t>Number</w:t>
            </w:r>
          </w:p>
        </w:tc>
        <w:tc>
          <w:tcPr>
            <w:tcW w:w="6521" w:type="dxa"/>
            <w:shd w:val="clear" w:color="auto" w:fill="DAE9F7" w:themeFill="text2" w:themeFillTint="1A"/>
          </w:tcPr>
          <w:p w14:paraId="7DAD654D" w14:textId="77777777" w:rsidR="000A1ADD" w:rsidRDefault="000A1ADD">
            <w:r>
              <w:t xml:space="preserve">Item </w:t>
            </w:r>
          </w:p>
          <w:p w14:paraId="00B7FEEF" w14:textId="5F0D667F" w:rsidR="00C23392" w:rsidRDefault="00C23392"/>
        </w:tc>
      </w:tr>
      <w:tr w:rsidR="000A1ADD" w14:paraId="3FDDE3DD" w14:textId="77777777" w:rsidTr="00C23392">
        <w:tc>
          <w:tcPr>
            <w:tcW w:w="2689" w:type="dxa"/>
          </w:tcPr>
          <w:p w14:paraId="161C36DE" w14:textId="007CBF12" w:rsidR="000A1ADD" w:rsidRDefault="000A1ADD" w:rsidP="00C31304">
            <w:pPr>
              <w:spacing w:after="120"/>
            </w:pPr>
            <w:r>
              <w:t>Faster Diagnosis</w:t>
            </w:r>
            <w:r w:rsidR="00C23392">
              <w:t xml:space="preserve"> Standard Specifics </w:t>
            </w:r>
          </w:p>
        </w:tc>
        <w:tc>
          <w:tcPr>
            <w:tcW w:w="1417" w:type="dxa"/>
          </w:tcPr>
          <w:p w14:paraId="53719F27" w14:textId="5F1723B0" w:rsidR="000A1ADD" w:rsidRDefault="000A1ADD" w:rsidP="00C31304">
            <w:pPr>
              <w:spacing w:after="120"/>
            </w:pPr>
            <w:r>
              <w:t>2.27</w:t>
            </w:r>
          </w:p>
        </w:tc>
        <w:tc>
          <w:tcPr>
            <w:tcW w:w="6521" w:type="dxa"/>
          </w:tcPr>
          <w:p w14:paraId="48F37BB6" w14:textId="226A1535" w:rsidR="00C31304" w:rsidRDefault="00AF21D3" w:rsidP="00C31304">
            <w:pPr>
              <w:spacing w:after="120"/>
            </w:pPr>
            <w:r>
              <w:t xml:space="preserve">Updated guidance on </w:t>
            </w:r>
            <w:r w:rsidR="000A1ADD" w:rsidRPr="00C76728">
              <w:t xml:space="preserve">Urgent Suspected Cancer referrals where the patient </w:t>
            </w:r>
            <w:proofErr w:type="gramStart"/>
            <w:r w:rsidR="000A1ADD" w:rsidRPr="00C76728">
              <w:t>is initially seen</w:t>
            </w:r>
            <w:proofErr w:type="gramEnd"/>
            <w:r w:rsidR="000A1ADD" w:rsidRPr="00C76728">
              <w:t xml:space="preserve"> in a community hub, confirming that the patient’s clock has started, and that data needs to be submitted for this activity.</w:t>
            </w:r>
          </w:p>
        </w:tc>
      </w:tr>
      <w:tr w:rsidR="00C23392" w14:paraId="0D198FAC" w14:textId="77777777" w:rsidTr="00C23392">
        <w:trPr>
          <w:trHeight w:val="887"/>
        </w:trPr>
        <w:tc>
          <w:tcPr>
            <w:tcW w:w="2689" w:type="dxa"/>
          </w:tcPr>
          <w:p w14:paraId="3E7B5A98" w14:textId="0C10CC21" w:rsidR="00C23392" w:rsidRDefault="00C23392" w:rsidP="00C23392">
            <w:pPr>
              <w:spacing w:after="120"/>
            </w:pPr>
            <w:r>
              <w:t xml:space="preserve">Faster Diagnosis Standard Specifics </w:t>
            </w:r>
          </w:p>
        </w:tc>
        <w:tc>
          <w:tcPr>
            <w:tcW w:w="1417" w:type="dxa"/>
          </w:tcPr>
          <w:p w14:paraId="1D4F53BC" w14:textId="241EF0BF" w:rsidR="00C23392" w:rsidRDefault="00C23392" w:rsidP="00C23392">
            <w:pPr>
              <w:spacing w:after="120"/>
            </w:pPr>
            <w:r>
              <w:t>2.2.12, 2.2.13, 2.2.17</w:t>
            </w:r>
          </w:p>
        </w:tc>
        <w:tc>
          <w:tcPr>
            <w:tcW w:w="6521" w:type="dxa"/>
          </w:tcPr>
          <w:p w14:paraId="074C16F6" w14:textId="7B3EF6CC" w:rsidR="00C23392" w:rsidRDefault="00C23392" w:rsidP="00C23392">
            <w:pPr>
              <w:spacing w:after="120"/>
            </w:pPr>
            <w:r w:rsidRPr="00C76728">
              <w:t xml:space="preserve">Incorporation of existing annex to guidance around recording of Lung Screening (previously known as Targeted Lung Health Checks) as Screening referrals added into main guidance. </w:t>
            </w:r>
          </w:p>
        </w:tc>
      </w:tr>
      <w:tr w:rsidR="00C23392" w14:paraId="6A941619" w14:textId="77777777" w:rsidTr="00C23392">
        <w:tc>
          <w:tcPr>
            <w:tcW w:w="2689" w:type="dxa"/>
          </w:tcPr>
          <w:p w14:paraId="28A964B8" w14:textId="23673D2E" w:rsidR="00C23392" w:rsidRDefault="00C23392" w:rsidP="00C23392">
            <w:pPr>
              <w:spacing w:after="120"/>
            </w:pPr>
            <w:r>
              <w:t xml:space="preserve">Faster Diagnosis Standard Specifics </w:t>
            </w:r>
          </w:p>
        </w:tc>
        <w:tc>
          <w:tcPr>
            <w:tcW w:w="1417" w:type="dxa"/>
          </w:tcPr>
          <w:p w14:paraId="0589B945" w14:textId="0FB65B0C" w:rsidR="00C23392" w:rsidRDefault="00C23392" w:rsidP="00C23392">
            <w:pPr>
              <w:spacing w:after="120"/>
            </w:pPr>
            <w:r>
              <w:t>2.2.16</w:t>
            </w:r>
          </w:p>
        </w:tc>
        <w:tc>
          <w:tcPr>
            <w:tcW w:w="6521" w:type="dxa"/>
          </w:tcPr>
          <w:p w14:paraId="175CF8CA" w14:textId="77777777" w:rsidR="00C23392" w:rsidRDefault="00C23392" w:rsidP="00C23392">
            <w:pPr>
              <w:spacing w:after="120"/>
            </w:pPr>
            <w:r w:rsidRPr="00C76728">
              <w:t>Additional guidance added in to record patients who decline a diagnostic on a Bowel Screening pathway but subsequently opt back in to pathway</w:t>
            </w:r>
          </w:p>
          <w:p w14:paraId="0F95380D" w14:textId="69074BFC" w:rsidR="00C23392" w:rsidRDefault="00C23392" w:rsidP="00C23392">
            <w:pPr>
              <w:spacing w:after="120"/>
            </w:pPr>
            <w:r>
              <w:t>Although this is listed as a clarification, this is locally interpreted as a change and will be picked up with National Cancer Team and through the forthcoming Access Policy</w:t>
            </w:r>
            <w:proofErr w:type="gramStart"/>
            <w:r>
              <w:t xml:space="preserve">.  </w:t>
            </w:r>
            <w:proofErr w:type="gramEnd"/>
            <w:r w:rsidRPr="004F5C56">
              <w:rPr>
                <w:b/>
                <w:bCs/>
              </w:rPr>
              <w:t xml:space="preserve">GM Trusts are asked NOT to </w:t>
            </w:r>
            <w:proofErr w:type="gramStart"/>
            <w:r w:rsidRPr="004F5C56">
              <w:rPr>
                <w:b/>
                <w:bCs/>
              </w:rPr>
              <w:t>make changes to</w:t>
            </w:r>
            <w:proofErr w:type="gramEnd"/>
            <w:r w:rsidRPr="004F5C56">
              <w:rPr>
                <w:b/>
                <w:bCs/>
              </w:rPr>
              <w:t xml:space="preserve"> practice presently.</w:t>
            </w:r>
          </w:p>
        </w:tc>
      </w:tr>
      <w:tr w:rsidR="00C23392" w14:paraId="18B9BA0C" w14:textId="77777777" w:rsidTr="00C23392">
        <w:tc>
          <w:tcPr>
            <w:tcW w:w="2689" w:type="dxa"/>
          </w:tcPr>
          <w:p w14:paraId="4E20B2F2" w14:textId="63300535" w:rsidR="00C23392" w:rsidRDefault="00C23392" w:rsidP="00C23392">
            <w:pPr>
              <w:spacing w:after="120"/>
            </w:pPr>
            <w:r>
              <w:t xml:space="preserve">Faster Diagnosis Standard Specifics </w:t>
            </w:r>
          </w:p>
        </w:tc>
        <w:tc>
          <w:tcPr>
            <w:tcW w:w="1417" w:type="dxa"/>
          </w:tcPr>
          <w:p w14:paraId="577DBD0A" w14:textId="4458F129" w:rsidR="00C23392" w:rsidRDefault="00C23392" w:rsidP="00C23392">
            <w:pPr>
              <w:spacing w:after="120"/>
            </w:pPr>
            <w:r>
              <w:t>2.4.2</w:t>
            </w:r>
          </w:p>
        </w:tc>
        <w:tc>
          <w:tcPr>
            <w:tcW w:w="6521" w:type="dxa"/>
          </w:tcPr>
          <w:p w14:paraId="0DC9FB48" w14:textId="47A19D81" w:rsidR="00C23392" w:rsidRDefault="00C23392" w:rsidP="00C23392">
            <w:pPr>
              <w:spacing w:after="120"/>
            </w:pPr>
            <w:r w:rsidRPr="005C57FC">
              <w:t>Additional guidance added on application of interval scanning, including the specific example covering Prostate PSA monitoring.</w:t>
            </w:r>
          </w:p>
        </w:tc>
      </w:tr>
      <w:tr w:rsidR="000A1ADD" w14:paraId="3C160402" w14:textId="77777777" w:rsidTr="00C23392">
        <w:tc>
          <w:tcPr>
            <w:tcW w:w="2689" w:type="dxa"/>
          </w:tcPr>
          <w:p w14:paraId="28231D60" w14:textId="33593304" w:rsidR="000A1ADD" w:rsidRDefault="00494D98" w:rsidP="00C31304">
            <w:pPr>
              <w:spacing w:after="120"/>
            </w:pPr>
            <w:r>
              <w:t>Tumour Specific</w:t>
            </w:r>
          </w:p>
        </w:tc>
        <w:tc>
          <w:tcPr>
            <w:tcW w:w="1417" w:type="dxa"/>
          </w:tcPr>
          <w:p w14:paraId="662ABC7F" w14:textId="2BC110A5" w:rsidR="000A1ADD" w:rsidRDefault="00494D98" w:rsidP="00C31304">
            <w:pPr>
              <w:spacing w:after="120"/>
            </w:pPr>
            <w:r>
              <w:t>5.10.1</w:t>
            </w:r>
          </w:p>
        </w:tc>
        <w:tc>
          <w:tcPr>
            <w:tcW w:w="6521" w:type="dxa"/>
          </w:tcPr>
          <w:p w14:paraId="108E3F10" w14:textId="2737B518" w:rsidR="000A1ADD" w:rsidRDefault="00494D98" w:rsidP="00494D98">
            <w:pPr>
              <w:spacing w:after="160" w:line="259" w:lineRule="auto"/>
            </w:pPr>
            <w:r w:rsidRPr="005C57FC">
              <w:t xml:space="preserve">Additional wording added for what would count as a first attendance for tele-dermatology, including an appointment in secondary care where a dermoscopic image/photo </w:t>
            </w:r>
            <w:proofErr w:type="gramStart"/>
            <w:r w:rsidRPr="005C57FC">
              <w:t>is taken</w:t>
            </w:r>
            <w:proofErr w:type="gramEnd"/>
            <w:r w:rsidRPr="005C57FC">
              <w:t xml:space="preserve"> by a trained healthcare professional. </w:t>
            </w:r>
          </w:p>
        </w:tc>
      </w:tr>
    </w:tbl>
    <w:p w14:paraId="2086E12F" w14:textId="77777777" w:rsidR="000A1ADD" w:rsidRDefault="000A1ADD" w:rsidP="00C31304">
      <w:pPr>
        <w:spacing w:after="0" w:line="360" w:lineRule="auto"/>
      </w:pPr>
    </w:p>
    <w:p w14:paraId="1401442C" w14:textId="77777777" w:rsidR="00C76728" w:rsidRDefault="00C76728"/>
    <w:p w14:paraId="32661626" w14:textId="0C5BC627" w:rsidR="00C76728" w:rsidRDefault="00494D98">
      <w:r>
        <w:t xml:space="preserve">The following section summarises the </w:t>
      </w:r>
      <w:proofErr w:type="gramStart"/>
      <w:r>
        <w:t>new changes</w:t>
      </w:r>
      <w:proofErr w:type="gramEnd"/>
      <w:r>
        <w:t xml:space="preserve"> which are applicable from </w:t>
      </w:r>
      <w:r w:rsidRPr="00C23392">
        <w:rPr>
          <w:u w:val="single"/>
        </w:rPr>
        <w:t>01 July 25</w:t>
      </w:r>
      <w:r>
        <w:t>.</w:t>
      </w:r>
    </w:p>
    <w:tbl>
      <w:tblPr>
        <w:tblStyle w:val="TableGrid"/>
        <w:tblW w:w="10627" w:type="dxa"/>
        <w:tblLook w:val="04A0" w:firstRow="1" w:lastRow="0" w:firstColumn="1" w:lastColumn="0" w:noHBand="0" w:noVBand="1"/>
      </w:tblPr>
      <w:tblGrid>
        <w:gridCol w:w="2689"/>
        <w:gridCol w:w="1417"/>
        <w:gridCol w:w="6521"/>
      </w:tblGrid>
      <w:tr w:rsidR="00494D98" w14:paraId="24BF18BB" w14:textId="77777777" w:rsidTr="00C23392">
        <w:tc>
          <w:tcPr>
            <w:tcW w:w="2689" w:type="dxa"/>
            <w:shd w:val="clear" w:color="auto" w:fill="D9F2D0" w:themeFill="accent6" w:themeFillTint="33"/>
          </w:tcPr>
          <w:p w14:paraId="32A6D5FB" w14:textId="77777777" w:rsidR="00494D98" w:rsidRDefault="00494D98" w:rsidP="00855BEA">
            <w:r>
              <w:lastRenderedPageBreak/>
              <w:t>Pathway Section</w:t>
            </w:r>
          </w:p>
        </w:tc>
        <w:tc>
          <w:tcPr>
            <w:tcW w:w="1417" w:type="dxa"/>
            <w:shd w:val="clear" w:color="auto" w:fill="D9F2D0" w:themeFill="accent6" w:themeFillTint="33"/>
          </w:tcPr>
          <w:p w14:paraId="456BDE18" w14:textId="77777777" w:rsidR="00494D98" w:rsidRDefault="00494D98" w:rsidP="00855BEA">
            <w:r>
              <w:t>Number</w:t>
            </w:r>
          </w:p>
        </w:tc>
        <w:tc>
          <w:tcPr>
            <w:tcW w:w="6521" w:type="dxa"/>
            <w:shd w:val="clear" w:color="auto" w:fill="D9F2D0" w:themeFill="accent6" w:themeFillTint="33"/>
          </w:tcPr>
          <w:p w14:paraId="24B02DC4" w14:textId="77777777" w:rsidR="00494D98" w:rsidRDefault="00494D98" w:rsidP="00855BEA">
            <w:r>
              <w:t xml:space="preserve">Item </w:t>
            </w:r>
          </w:p>
          <w:p w14:paraId="56340560" w14:textId="77777777" w:rsidR="00C23392" w:rsidRDefault="00C23392" w:rsidP="00855BEA"/>
        </w:tc>
      </w:tr>
      <w:tr w:rsidR="00C23392" w14:paraId="078ECD59" w14:textId="77777777" w:rsidTr="00C23392">
        <w:tc>
          <w:tcPr>
            <w:tcW w:w="2689" w:type="dxa"/>
          </w:tcPr>
          <w:p w14:paraId="52248424" w14:textId="7691798F" w:rsidR="00C23392" w:rsidRDefault="00C23392" w:rsidP="00C23392">
            <w:pPr>
              <w:spacing w:after="120"/>
            </w:pPr>
            <w:r>
              <w:t xml:space="preserve">Faster Diagnosis Standard Specifics </w:t>
            </w:r>
          </w:p>
        </w:tc>
        <w:tc>
          <w:tcPr>
            <w:tcW w:w="1417" w:type="dxa"/>
          </w:tcPr>
          <w:p w14:paraId="5DEE3A7C" w14:textId="000ECB21" w:rsidR="00C23392" w:rsidRDefault="00C23392" w:rsidP="00C23392">
            <w:pPr>
              <w:spacing w:after="120"/>
            </w:pPr>
            <w:r>
              <w:t>2.2.1</w:t>
            </w:r>
          </w:p>
        </w:tc>
        <w:tc>
          <w:tcPr>
            <w:tcW w:w="6521" w:type="dxa"/>
          </w:tcPr>
          <w:p w14:paraId="174685FC" w14:textId="58ACCCAB" w:rsidR="00C23392" w:rsidRDefault="00C23392" w:rsidP="00C23392">
            <w:pPr>
              <w:spacing w:after="160" w:line="259" w:lineRule="auto"/>
            </w:pPr>
            <w:r w:rsidRPr="00C76728">
              <w:t>A</w:t>
            </w:r>
            <w:r>
              <w:t xml:space="preserve"> new requirement</w:t>
            </w:r>
            <w:r w:rsidRPr="00C76728">
              <w:t xml:space="preserve"> that systems should have processes in place to accept direct referrals from the Independent Sector where a patient meets criteria for an Urgent Suspected Cancer referral. </w:t>
            </w:r>
            <w:r>
              <w:t>2</w:t>
            </w:r>
          </w:p>
        </w:tc>
      </w:tr>
      <w:tr w:rsidR="00C23392" w14:paraId="0177A120" w14:textId="77777777" w:rsidTr="00C23392">
        <w:tc>
          <w:tcPr>
            <w:tcW w:w="2689" w:type="dxa"/>
          </w:tcPr>
          <w:p w14:paraId="09C6594C" w14:textId="550048BF" w:rsidR="00C23392" w:rsidRDefault="00C23392" w:rsidP="00C23392">
            <w:pPr>
              <w:spacing w:after="120"/>
            </w:pPr>
            <w:r>
              <w:t xml:space="preserve">Faster Diagnosis Standard Specifics </w:t>
            </w:r>
          </w:p>
        </w:tc>
        <w:tc>
          <w:tcPr>
            <w:tcW w:w="1417" w:type="dxa"/>
          </w:tcPr>
          <w:p w14:paraId="195C7920" w14:textId="7FE1302D" w:rsidR="00C23392" w:rsidRDefault="00C23392" w:rsidP="00C23392">
            <w:pPr>
              <w:spacing w:after="120"/>
            </w:pPr>
            <w:r>
              <w:t>2.3.1</w:t>
            </w:r>
          </w:p>
        </w:tc>
        <w:tc>
          <w:tcPr>
            <w:tcW w:w="6521" w:type="dxa"/>
          </w:tcPr>
          <w:p w14:paraId="754CD784" w14:textId="77777777" w:rsidR="00C23392" w:rsidRDefault="00C23392" w:rsidP="00C23392">
            <w:pPr>
              <w:spacing w:after="160" w:line="259" w:lineRule="auto"/>
            </w:pPr>
            <w:r w:rsidRPr="005C57FC">
              <w:t xml:space="preserve">Adaption of national rules around referral management. More flexibility for Breast Symptomatic referrals to allow for more clinically appropriate alternatives, whilst patients remaining on the pathway continue to have the standards applied to them. </w:t>
            </w:r>
          </w:p>
          <w:p w14:paraId="0B9F832A" w14:textId="286C505C" w:rsidR="00C23392" w:rsidRPr="004F5C56" w:rsidRDefault="00C23392" w:rsidP="00C23392">
            <w:pPr>
              <w:spacing w:after="160" w:line="259" w:lineRule="auto"/>
              <w:rPr>
                <w:b/>
                <w:bCs/>
              </w:rPr>
            </w:pPr>
            <w:proofErr w:type="gramStart"/>
            <w:r w:rsidRPr="004F5C56">
              <w:rPr>
                <w:b/>
                <w:bCs/>
              </w:rPr>
              <w:t>Guidance will be provided by GM Cancer</w:t>
            </w:r>
            <w:proofErr w:type="gramEnd"/>
            <w:r w:rsidRPr="004F5C56">
              <w:rPr>
                <w:b/>
                <w:bCs/>
              </w:rPr>
              <w:t xml:space="preserve"> to ensure patient pathways offer parity across GM.   Trusts </w:t>
            </w:r>
            <w:proofErr w:type="gramStart"/>
            <w:r w:rsidRPr="004F5C56">
              <w:rPr>
                <w:b/>
                <w:bCs/>
              </w:rPr>
              <w:t>are asked</w:t>
            </w:r>
            <w:proofErr w:type="gramEnd"/>
            <w:r w:rsidRPr="004F5C56">
              <w:rPr>
                <w:b/>
                <w:bCs/>
              </w:rPr>
              <w:t xml:space="preserve"> not to plan changes without this.</w:t>
            </w:r>
          </w:p>
        </w:tc>
      </w:tr>
      <w:tr w:rsidR="00C23392" w14:paraId="37AB70DD" w14:textId="77777777" w:rsidTr="00C23392">
        <w:tc>
          <w:tcPr>
            <w:tcW w:w="2689" w:type="dxa"/>
          </w:tcPr>
          <w:p w14:paraId="007CC35D" w14:textId="435D3B38" w:rsidR="00C23392" w:rsidRDefault="00C23392" w:rsidP="00C23392">
            <w:pPr>
              <w:spacing w:after="120"/>
            </w:pPr>
            <w:r>
              <w:t xml:space="preserve">Faster Diagnosis Standard Specifics </w:t>
            </w:r>
          </w:p>
        </w:tc>
        <w:tc>
          <w:tcPr>
            <w:tcW w:w="1417" w:type="dxa"/>
          </w:tcPr>
          <w:p w14:paraId="4D5F76E3" w14:textId="5BE2C232" w:rsidR="00C23392" w:rsidRDefault="00C23392" w:rsidP="00C23392">
            <w:pPr>
              <w:spacing w:after="120"/>
            </w:pPr>
            <w:r>
              <w:t>2.3.5</w:t>
            </w:r>
          </w:p>
        </w:tc>
        <w:tc>
          <w:tcPr>
            <w:tcW w:w="6521" w:type="dxa"/>
          </w:tcPr>
          <w:p w14:paraId="6260D3D5" w14:textId="335238C5" w:rsidR="00C23392" w:rsidRDefault="00C23392" w:rsidP="00C23392">
            <w:pPr>
              <w:spacing w:after="160" w:line="259" w:lineRule="auto"/>
            </w:pPr>
            <w:r w:rsidRPr="005C57FC">
              <w:t xml:space="preserve">Rewording of Advice and Guidance section, to make clearer that this service should not </w:t>
            </w:r>
            <w:proofErr w:type="gramStart"/>
            <w:r w:rsidRPr="005C57FC">
              <w:t>be used</w:t>
            </w:r>
            <w:proofErr w:type="gramEnd"/>
            <w:r w:rsidRPr="005C57FC">
              <w:t xml:space="preserve"> for Urgent Suspected Cancer referrals given the clinical urgency. </w:t>
            </w:r>
            <w:r>
              <w:t>However, r</w:t>
            </w:r>
            <w:r w:rsidRPr="005C57FC">
              <w:t xml:space="preserve">emoval of this requirement for Breast Symptomatic referrals, to allow more flexibility in development in local services for these patients. </w:t>
            </w:r>
            <w:r w:rsidRPr="004F5C56">
              <w:rPr>
                <w:b/>
                <w:bCs/>
              </w:rPr>
              <w:t>(see above)</w:t>
            </w:r>
          </w:p>
        </w:tc>
      </w:tr>
      <w:tr w:rsidR="00C23392" w14:paraId="11E9B58D" w14:textId="77777777" w:rsidTr="00C23392">
        <w:tc>
          <w:tcPr>
            <w:tcW w:w="2689" w:type="dxa"/>
          </w:tcPr>
          <w:p w14:paraId="47FB4911" w14:textId="56461B4E" w:rsidR="00C23392" w:rsidRDefault="00C23392" w:rsidP="00C23392">
            <w:pPr>
              <w:spacing w:after="120"/>
            </w:pPr>
            <w:r>
              <w:t xml:space="preserve">Faster Diagnosis Standard Specifics </w:t>
            </w:r>
          </w:p>
        </w:tc>
        <w:tc>
          <w:tcPr>
            <w:tcW w:w="1417" w:type="dxa"/>
          </w:tcPr>
          <w:p w14:paraId="0E2EEEC4" w14:textId="6488BBAC" w:rsidR="00C23392" w:rsidRDefault="00C23392" w:rsidP="00C23392">
            <w:pPr>
              <w:spacing w:after="120"/>
            </w:pPr>
            <w:r>
              <w:t>2.3.6</w:t>
            </w:r>
          </w:p>
        </w:tc>
        <w:tc>
          <w:tcPr>
            <w:tcW w:w="6521" w:type="dxa"/>
          </w:tcPr>
          <w:p w14:paraId="398A83A9" w14:textId="25F04380" w:rsidR="00C23392" w:rsidRDefault="00C23392" w:rsidP="00C23392">
            <w:pPr>
              <w:spacing w:after="120"/>
            </w:pPr>
            <w:r w:rsidRPr="005C57FC">
              <w:t xml:space="preserve">DNA adjustment guidance updated, so that a patient who has not taken the required preparation </w:t>
            </w:r>
            <w:proofErr w:type="gramStart"/>
            <w:r w:rsidRPr="005C57FC">
              <w:t>is not recorded</w:t>
            </w:r>
            <w:proofErr w:type="gramEnd"/>
            <w:r w:rsidRPr="005C57FC">
              <w:t xml:space="preserve"> as a DNA. In addition, this adjustment can now only be applied where a patient has either booked their appointment through the E-RS or an alternative booking system directly, agreed an appointment by phone or where several unsuccessful attempts have been made by phone, by post where at least a week’s notice is given</w:t>
            </w:r>
            <w:proofErr w:type="gramStart"/>
            <w:r w:rsidRPr="005C57FC">
              <w:t>.</w:t>
            </w:r>
            <w:r>
              <w:t xml:space="preserve">  </w:t>
            </w:r>
            <w:proofErr w:type="gramEnd"/>
            <w:r w:rsidRPr="004F5C56">
              <w:rPr>
                <w:b/>
                <w:bCs/>
              </w:rPr>
              <w:t>The GM cancer access policy will cover this.</w:t>
            </w:r>
          </w:p>
        </w:tc>
      </w:tr>
      <w:tr w:rsidR="00494D98" w14:paraId="533EAFC2" w14:textId="77777777" w:rsidTr="00C23392">
        <w:tc>
          <w:tcPr>
            <w:tcW w:w="2689" w:type="dxa"/>
          </w:tcPr>
          <w:p w14:paraId="48E62579" w14:textId="310C6D72" w:rsidR="00494D98" w:rsidRDefault="004F5C56" w:rsidP="00855BEA">
            <w:pPr>
              <w:spacing w:after="120"/>
            </w:pPr>
            <w:r>
              <w:t>Treatment Standard</w:t>
            </w:r>
            <w:r w:rsidR="00C23392">
              <w:t xml:space="preserve"> Specifics</w:t>
            </w:r>
          </w:p>
        </w:tc>
        <w:tc>
          <w:tcPr>
            <w:tcW w:w="1417" w:type="dxa"/>
          </w:tcPr>
          <w:p w14:paraId="40387CC2" w14:textId="356B0A41" w:rsidR="00494D98" w:rsidRDefault="004F5C56" w:rsidP="00855BEA">
            <w:pPr>
              <w:spacing w:after="120"/>
            </w:pPr>
            <w:r>
              <w:t>3.8</w:t>
            </w:r>
          </w:p>
        </w:tc>
        <w:tc>
          <w:tcPr>
            <w:tcW w:w="6521" w:type="dxa"/>
          </w:tcPr>
          <w:p w14:paraId="5216E43C" w14:textId="738AB790" w:rsidR="00494D98" w:rsidRDefault="004F5C56" w:rsidP="004F5C56">
            <w:pPr>
              <w:spacing w:after="160" w:line="259" w:lineRule="auto"/>
            </w:pPr>
            <w:r w:rsidRPr="005C57FC">
              <w:t xml:space="preserve">Addition of Rectal Spacer prior to radiotherapy as an enabling treatment, and additional wording for existing colostomy guidance. </w:t>
            </w:r>
          </w:p>
        </w:tc>
      </w:tr>
      <w:tr w:rsidR="00C23392" w14:paraId="650C3520" w14:textId="77777777" w:rsidTr="00C23392">
        <w:tc>
          <w:tcPr>
            <w:tcW w:w="2689" w:type="dxa"/>
          </w:tcPr>
          <w:p w14:paraId="2475E65B" w14:textId="534F83C4" w:rsidR="00C23392" w:rsidRDefault="00C23392" w:rsidP="00C23392">
            <w:pPr>
              <w:spacing w:after="120"/>
            </w:pPr>
            <w:r>
              <w:t>Treatment Standard Specifics</w:t>
            </w:r>
          </w:p>
        </w:tc>
        <w:tc>
          <w:tcPr>
            <w:tcW w:w="1417" w:type="dxa"/>
          </w:tcPr>
          <w:p w14:paraId="5A130188" w14:textId="11452843" w:rsidR="00C23392" w:rsidRDefault="00C23392" w:rsidP="00C23392">
            <w:pPr>
              <w:spacing w:after="120"/>
            </w:pPr>
            <w:r>
              <w:t>3.10.5</w:t>
            </w:r>
          </w:p>
        </w:tc>
        <w:tc>
          <w:tcPr>
            <w:tcW w:w="6521" w:type="dxa"/>
          </w:tcPr>
          <w:p w14:paraId="262E9B65" w14:textId="18CD8A1B" w:rsidR="00C23392" w:rsidRDefault="00C23392" w:rsidP="00C23392">
            <w:pPr>
              <w:spacing w:after="160"/>
            </w:pPr>
            <w:r w:rsidRPr="005C57FC">
              <w:t xml:space="preserve">Clarification on active monitoring guidance, making it clearer that it cannot apply where a pathway is progressing with the intention of treatment </w:t>
            </w:r>
            <w:proofErr w:type="gramStart"/>
            <w:r w:rsidRPr="005C57FC">
              <w:t>being delivered</w:t>
            </w:r>
            <w:proofErr w:type="gramEnd"/>
            <w:r w:rsidRPr="005C57FC">
              <w:t xml:space="preserve">. </w:t>
            </w:r>
          </w:p>
        </w:tc>
      </w:tr>
      <w:tr w:rsidR="00C23392" w14:paraId="488092AB" w14:textId="77777777" w:rsidTr="00C23392">
        <w:tc>
          <w:tcPr>
            <w:tcW w:w="2689" w:type="dxa"/>
          </w:tcPr>
          <w:p w14:paraId="2BE4979E" w14:textId="1B2AA333" w:rsidR="00C23392" w:rsidRDefault="00C23392" w:rsidP="00C23392">
            <w:pPr>
              <w:spacing w:after="120"/>
            </w:pPr>
            <w:r>
              <w:t>Treatment Standard Specifics</w:t>
            </w:r>
          </w:p>
        </w:tc>
        <w:tc>
          <w:tcPr>
            <w:tcW w:w="1417" w:type="dxa"/>
          </w:tcPr>
          <w:p w14:paraId="7B9965D5" w14:textId="608D5379" w:rsidR="00C23392" w:rsidRDefault="00C23392" w:rsidP="00C23392">
            <w:pPr>
              <w:spacing w:after="120"/>
            </w:pPr>
            <w:r>
              <w:t>3.10.6</w:t>
            </w:r>
          </w:p>
        </w:tc>
        <w:tc>
          <w:tcPr>
            <w:tcW w:w="6521" w:type="dxa"/>
          </w:tcPr>
          <w:p w14:paraId="46E489A0" w14:textId="262461A6" w:rsidR="00C23392" w:rsidRDefault="00C23392" w:rsidP="00C23392">
            <w:pPr>
              <w:spacing w:after="120"/>
            </w:pPr>
            <w:r w:rsidRPr="005C57FC">
              <w:t>Updated Prostate cancer guidance around active monitoring to reflect Cambridge Prognosis Classification.</w:t>
            </w:r>
          </w:p>
        </w:tc>
      </w:tr>
      <w:tr w:rsidR="00C23392" w14:paraId="0B664F1D" w14:textId="77777777" w:rsidTr="00C23392">
        <w:tc>
          <w:tcPr>
            <w:tcW w:w="2689" w:type="dxa"/>
          </w:tcPr>
          <w:p w14:paraId="566C4002" w14:textId="66513CFE" w:rsidR="00C23392" w:rsidRDefault="00C23392" w:rsidP="00C23392">
            <w:pPr>
              <w:spacing w:after="120"/>
            </w:pPr>
            <w:r>
              <w:t>Treatment Standard Specifics</w:t>
            </w:r>
          </w:p>
        </w:tc>
        <w:tc>
          <w:tcPr>
            <w:tcW w:w="1417" w:type="dxa"/>
          </w:tcPr>
          <w:p w14:paraId="11E0643F" w14:textId="513D7BD2" w:rsidR="00C23392" w:rsidRDefault="00C23392" w:rsidP="00C23392">
            <w:pPr>
              <w:spacing w:after="120"/>
            </w:pPr>
            <w:r>
              <w:t>3.19</w:t>
            </w:r>
          </w:p>
        </w:tc>
        <w:tc>
          <w:tcPr>
            <w:tcW w:w="6521" w:type="dxa"/>
          </w:tcPr>
          <w:p w14:paraId="68727E5B" w14:textId="1093C112" w:rsidR="00C23392" w:rsidRDefault="00C23392" w:rsidP="00C23392">
            <w:pPr>
              <w:spacing w:after="120"/>
            </w:pPr>
            <w:r w:rsidRPr="005C57FC">
              <w:t xml:space="preserve">Update to patient choice adjustment, to apply to when patients choose to have treatment after a specific date or where they </w:t>
            </w:r>
            <w:proofErr w:type="gramStart"/>
            <w:r w:rsidRPr="005C57FC">
              <w:t>are offered</w:t>
            </w:r>
            <w:proofErr w:type="gramEnd"/>
            <w:r w:rsidRPr="005C57FC">
              <w:t xml:space="preserve"> a date within 31 days and decline this.</w:t>
            </w:r>
          </w:p>
        </w:tc>
      </w:tr>
      <w:tr w:rsidR="004F5C56" w14:paraId="63BC8B81" w14:textId="77777777" w:rsidTr="00C23392">
        <w:tc>
          <w:tcPr>
            <w:tcW w:w="2689" w:type="dxa"/>
          </w:tcPr>
          <w:p w14:paraId="2BE3BB93" w14:textId="63934C99" w:rsidR="004F5C56" w:rsidRDefault="00C23392" w:rsidP="00855BEA">
            <w:pPr>
              <w:spacing w:after="120"/>
            </w:pPr>
            <w:r>
              <w:t>Referral/Upgrade to first treatment standard specifics</w:t>
            </w:r>
          </w:p>
        </w:tc>
        <w:tc>
          <w:tcPr>
            <w:tcW w:w="1417" w:type="dxa"/>
          </w:tcPr>
          <w:p w14:paraId="5A9FB21E" w14:textId="66EB287D" w:rsidR="004F5C56" w:rsidRDefault="00C23392" w:rsidP="00855BEA">
            <w:pPr>
              <w:spacing w:after="120"/>
            </w:pPr>
            <w:r>
              <w:t>4.3.4</w:t>
            </w:r>
          </w:p>
        </w:tc>
        <w:tc>
          <w:tcPr>
            <w:tcW w:w="6521" w:type="dxa"/>
          </w:tcPr>
          <w:p w14:paraId="3B81202F" w14:textId="78112635" w:rsidR="004F5C56" w:rsidRPr="005C57FC" w:rsidRDefault="00056FE6" w:rsidP="00855BEA">
            <w:pPr>
              <w:spacing w:after="120"/>
            </w:pPr>
            <w:r w:rsidRPr="005C57FC">
              <w:t>Additional scenarios where consultant update would apply automatically, to where a trust radiology or pathology system flags a patient as suspicious of or with confirmed cancer, where an interval scan is abnormal or where a patient through bowel screening who initially declines all diagnostics opts at a later point to progress their pathway.</w:t>
            </w:r>
          </w:p>
        </w:tc>
      </w:tr>
      <w:tr w:rsidR="004F5C56" w14:paraId="2D354181" w14:textId="77777777" w:rsidTr="00C23392">
        <w:tc>
          <w:tcPr>
            <w:tcW w:w="2689" w:type="dxa"/>
          </w:tcPr>
          <w:p w14:paraId="4C1797AD" w14:textId="68FD501C" w:rsidR="004F5C56" w:rsidRDefault="00B830E2" w:rsidP="00855BEA">
            <w:pPr>
              <w:spacing w:after="120"/>
            </w:pPr>
            <w:r>
              <w:t>Referral/Upgrade to first treatment standard specifics</w:t>
            </w:r>
          </w:p>
        </w:tc>
        <w:tc>
          <w:tcPr>
            <w:tcW w:w="1417" w:type="dxa"/>
          </w:tcPr>
          <w:p w14:paraId="4022A62F" w14:textId="51B9E9D5" w:rsidR="004F5C56" w:rsidRDefault="00C23392" w:rsidP="00855BEA">
            <w:pPr>
              <w:spacing w:after="120"/>
            </w:pPr>
            <w:r>
              <w:t>4.3.5</w:t>
            </w:r>
          </w:p>
        </w:tc>
        <w:tc>
          <w:tcPr>
            <w:tcW w:w="6521" w:type="dxa"/>
          </w:tcPr>
          <w:p w14:paraId="0C4E26DA" w14:textId="69C14A89" w:rsidR="004F5C56" w:rsidRPr="005C57FC" w:rsidRDefault="00056FE6" w:rsidP="00855BEA">
            <w:pPr>
              <w:spacing w:after="120"/>
            </w:pPr>
            <w:r w:rsidRPr="005C57FC">
              <w:t xml:space="preserve">Additional guidance added on how to record 62 day and 31-day pathways where a patient </w:t>
            </w:r>
            <w:proofErr w:type="gramStart"/>
            <w:r w:rsidRPr="005C57FC">
              <w:t>is diagnosed</w:t>
            </w:r>
            <w:proofErr w:type="gramEnd"/>
            <w:r w:rsidRPr="005C57FC">
              <w:t xml:space="preserve"> with multiple primaries on the same pathway.</w:t>
            </w:r>
          </w:p>
        </w:tc>
      </w:tr>
      <w:tr w:rsidR="004F5C56" w14:paraId="3DFE9ABE" w14:textId="77777777" w:rsidTr="00C23392">
        <w:tc>
          <w:tcPr>
            <w:tcW w:w="2689" w:type="dxa"/>
          </w:tcPr>
          <w:p w14:paraId="65AEC7E1" w14:textId="58F7229A" w:rsidR="004F5C56" w:rsidRDefault="00B830E2" w:rsidP="00855BEA">
            <w:pPr>
              <w:spacing w:after="120"/>
            </w:pPr>
            <w:r>
              <w:t>Referral/Upgrade to first treatment standard specifics</w:t>
            </w:r>
          </w:p>
        </w:tc>
        <w:tc>
          <w:tcPr>
            <w:tcW w:w="1417" w:type="dxa"/>
          </w:tcPr>
          <w:p w14:paraId="7D36F6F3" w14:textId="7517A36C" w:rsidR="004F5C56" w:rsidRDefault="00C23392" w:rsidP="00855BEA">
            <w:pPr>
              <w:spacing w:after="120"/>
            </w:pPr>
            <w:r>
              <w:t>4.6.2</w:t>
            </w:r>
          </w:p>
        </w:tc>
        <w:tc>
          <w:tcPr>
            <w:tcW w:w="6521" w:type="dxa"/>
          </w:tcPr>
          <w:p w14:paraId="40ACBDEA" w14:textId="168DF5C6" w:rsidR="004F5C56" w:rsidRPr="005C57FC" w:rsidRDefault="00056FE6" w:rsidP="00855BEA">
            <w:pPr>
              <w:spacing w:after="120"/>
            </w:pPr>
            <w:r w:rsidRPr="005C57FC">
              <w:t>Additional guidance around inter-provider transfer recording, including the scenarios where a provider is not notified a patient is on an active 62-day pathway</w:t>
            </w:r>
            <w:proofErr w:type="gramStart"/>
            <w:r w:rsidRPr="005C57FC">
              <w:t>.</w:t>
            </w:r>
            <w:r>
              <w:t xml:space="preserve">  </w:t>
            </w:r>
            <w:proofErr w:type="gramEnd"/>
          </w:p>
        </w:tc>
      </w:tr>
      <w:tr w:rsidR="004F5C56" w14:paraId="19C2BA76" w14:textId="77777777" w:rsidTr="00C23392">
        <w:tc>
          <w:tcPr>
            <w:tcW w:w="2689" w:type="dxa"/>
          </w:tcPr>
          <w:p w14:paraId="2C29D9A1" w14:textId="604D7B03" w:rsidR="004F5C56" w:rsidRDefault="00B830E2" w:rsidP="00855BEA">
            <w:pPr>
              <w:spacing w:after="120"/>
            </w:pPr>
            <w:r>
              <w:lastRenderedPageBreak/>
              <w:t>Tumour specific</w:t>
            </w:r>
          </w:p>
        </w:tc>
        <w:tc>
          <w:tcPr>
            <w:tcW w:w="1417" w:type="dxa"/>
          </w:tcPr>
          <w:p w14:paraId="5C8EBFD1" w14:textId="0E9CA266" w:rsidR="004F5C56" w:rsidRDefault="00B830E2" w:rsidP="00855BEA">
            <w:pPr>
              <w:spacing w:after="120"/>
            </w:pPr>
            <w:r>
              <w:t>5.12.4</w:t>
            </w:r>
          </w:p>
        </w:tc>
        <w:tc>
          <w:tcPr>
            <w:tcW w:w="6521" w:type="dxa"/>
          </w:tcPr>
          <w:p w14:paraId="6B6195F5" w14:textId="17751927" w:rsidR="004F5C56" w:rsidRPr="005C57FC" w:rsidRDefault="00B830E2" w:rsidP="00B830E2">
            <w:pPr>
              <w:spacing w:after="160" w:line="259" w:lineRule="auto"/>
            </w:pPr>
            <w:r w:rsidRPr="005C57FC">
              <w:t xml:space="preserve">Guidance around bladder cancer updated, so the Mitomycin now never counts as a First Definitive Treatment. </w:t>
            </w:r>
          </w:p>
        </w:tc>
      </w:tr>
    </w:tbl>
    <w:p w14:paraId="07CA6014" w14:textId="77777777" w:rsidR="00C76728" w:rsidRDefault="00C76728"/>
    <w:p w14:paraId="2F379FC8" w14:textId="77777777" w:rsidR="00CA5851" w:rsidRDefault="00CA5851"/>
    <w:p w14:paraId="16765701" w14:textId="72E0860E" w:rsidR="00CA5851" w:rsidRDefault="00CA5851">
      <w:r>
        <w:t>The management of Breast Symptomatic referrals, and the bladder cancer guidance (related to Mitomycin) are the most substantial changes in the way in which we deliver and count pathways in CWT.</w:t>
      </w:r>
    </w:p>
    <w:sectPr w:rsidR="00CA5851" w:rsidSect="00C3130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AAFF4E5"/>
    <w:multiLevelType w:val="hybridMultilevel"/>
    <w:tmpl w:val="FFFFFFFF"/>
    <w:lvl w:ilvl="0" w:tplc="FFFFFFFF">
      <w:start w:val="1"/>
      <w:numFmt w:val="bullet"/>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294DAE6"/>
    <w:multiLevelType w:val="hybridMultilevel"/>
    <w:tmpl w:val="FFFFFFFF"/>
    <w:lvl w:ilvl="0" w:tplc="FFFFFFFF">
      <w:start w:val="1"/>
      <w:numFmt w:val="bullet"/>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D668BD4"/>
    <w:multiLevelType w:val="hybridMultilevel"/>
    <w:tmpl w:val="FFFFFFFF"/>
    <w:lvl w:ilvl="0" w:tplc="FFFFFFFF">
      <w:start w:val="1"/>
      <w:numFmt w:val="bullet"/>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115BEE5F"/>
    <w:multiLevelType w:val="hybridMultilevel"/>
    <w:tmpl w:val="FFFFFFFF"/>
    <w:lvl w:ilvl="0" w:tplc="FFFFFFFF">
      <w:start w:val="1"/>
      <w:numFmt w:val="bullet"/>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1BA4082"/>
    <w:multiLevelType w:val="hybridMultilevel"/>
    <w:tmpl w:val="FFFFFFFF"/>
    <w:lvl w:ilvl="0" w:tplc="FFFFFFFF">
      <w:start w:val="1"/>
      <w:numFmt w:val="bullet"/>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29639DD1"/>
    <w:multiLevelType w:val="hybridMultilevel"/>
    <w:tmpl w:val="FFFFFFFF"/>
    <w:lvl w:ilvl="0" w:tplc="FFFFFFFF">
      <w:start w:val="1"/>
      <w:numFmt w:val="bullet"/>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3AFCB6A0"/>
    <w:multiLevelType w:val="hybridMultilevel"/>
    <w:tmpl w:val="FFFFFFFF"/>
    <w:lvl w:ilvl="0" w:tplc="FFFFFFFF">
      <w:start w:val="1"/>
      <w:numFmt w:val="bullet"/>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4EE1E01F"/>
    <w:multiLevelType w:val="hybridMultilevel"/>
    <w:tmpl w:val="FFFFFFFF"/>
    <w:lvl w:ilvl="0" w:tplc="FFFFFFFF">
      <w:start w:val="1"/>
      <w:numFmt w:val="bullet"/>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6C1B6637"/>
    <w:multiLevelType w:val="hybridMultilevel"/>
    <w:tmpl w:val="FFFFFFFF"/>
    <w:lvl w:ilvl="0" w:tplc="FFFFFFFF">
      <w:start w:val="1"/>
      <w:numFmt w:val="bullet"/>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862888697">
    <w:abstractNumId w:val="2"/>
  </w:num>
  <w:num w:numId="2" w16cid:durableId="2138185007">
    <w:abstractNumId w:val="5"/>
  </w:num>
  <w:num w:numId="3" w16cid:durableId="495538929">
    <w:abstractNumId w:val="7"/>
  </w:num>
  <w:num w:numId="4" w16cid:durableId="1884557058">
    <w:abstractNumId w:val="8"/>
  </w:num>
  <w:num w:numId="5" w16cid:durableId="1117682402">
    <w:abstractNumId w:val="6"/>
  </w:num>
  <w:num w:numId="6" w16cid:durableId="1399859577">
    <w:abstractNumId w:val="3"/>
  </w:num>
  <w:num w:numId="7" w16cid:durableId="218976761">
    <w:abstractNumId w:val="4"/>
  </w:num>
  <w:num w:numId="8" w16cid:durableId="1061637323">
    <w:abstractNumId w:val="0"/>
  </w:num>
  <w:num w:numId="9" w16cid:durableId="562480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6728"/>
    <w:rsid w:val="00056FE6"/>
    <w:rsid w:val="000A1ADD"/>
    <w:rsid w:val="00371340"/>
    <w:rsid w:val="003E7D82"/>
    <w:rsid w:val="004671AC"/>
    <w:rsid w:val="00494D98"/>
    <w:rsid w:val="004F5C56"/>
    <w:rsid w:val="005046DF"/>
    <w:rsid w:val="005C57FC"/>
    <w:rsid w:val="00AF21D3"/>
    <w:rsid w:val="00B830E2"/>
    <w:rsid w:val="00C23392"/>
    <w:rsid w:val="00C31304"/>
    <w:rsid w:val="00C76728"/>
    <w:rsid w:val="00CA5851"/>
    <w:rsid w:val="00E95A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57834"/>
  <w15:chartTrackingRefBased/>
  <w15:docId w15:val="{94354AF8-C455-409B-8BCB-812A1435C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7672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7672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7672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7672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7672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7672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7672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7672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7672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672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7672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7672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7672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7672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7672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7672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7672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76728"/>
    <w:rPr>
      <w:rFonts w:eastAsiaTheme="majorEastAsia" w:cstheme="majorBidi"/>
      <w:color w:val="272727" w:themeColor="text1" w:themeTint="D8"/>
    </w:rPr>
  </w:style>
  <w:style w:type="paragraph" w:styleId="Title">
    <w:name w:val="Title"/>
    <w:basedOn w:val="Normal"/>
    <w:next w:val="Normal"/>
    <w:link w:val="TitleChar"/>
    <w:uiPriority w:val="10"/>
    <w:qFormat/>
    <w:rsid w:val="00C7672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7672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7672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7672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76728"/>
    <w:pPr>
      <w:spacing w:before="160"/>
      <w:jc w:val="center"/>
    </w:pPr>
    <w:rPr>
      <w:i/>
      <w:iCs/>
      <w:color w:val="404040" w:themeColor="text1" w:themeTint="BF"/>
    </w:rPr>
  </w:style>
  <w:style w:type="character" w:customStyle="1" w:styleId="QuoteChar">
    <w:name w:val="Quote Char"/>
    <w:basedOn w:val="DefaultParagraphFont"/>
    <w:link w:val="Quote"/>
    <w:uiPriority w:val="29"/>
    <w:rsid w:val="00C76728"/>
    <w:rPr>
      <w:i/>
      <w:iCs/>
      <w:color w:val="404040" w:themeColor="text1" w:themeTint="BF"/>
    </w:rPr>
  </w:style>
  <w:style w:type="paragraph" w:styleId="ListParagraph">
    <w:name w:val="List Paragraph"/>
    <w:basedOn w:val="Normal"/>
    <w:uiPriority w:val="34"/>
    <w:qFormat/>
    <w:rsid w:val="00C76728"/>
    <w:pPr>
      <w:ind w:left="720"/>
      <w:contextualSpacing/>
    </w:pPr>
  </w:style>
  <w:style w:type="character" w:styleId="IntenseEmphasis">
    <w:name w:val="Intense Emphasis"/>
    <w:basedOn w:val="DefaultParagraphFont"/>
    <w:uiPriority w:val="21"/>
    <w:qFormat/>
    <w:rsid w:val="00C76728"/>
    <w:rPr>
      <w:i/>
      <w:iCs/>
      <w:color w:val="0F4761" w:themeColor="accent1" w:themeShade="BF"/>
    </w:rPr>
  </w:style>
  <w:style w:type="paragraph" w:styleId="IntenseQuote">
    <w:name w:val="Intense Quote"/>
    <w:basedOn w:val="Normal"/>
    <w:next w:val="Normal"/>
    <w:link w:val="IntenseQuoteChar"/>
    <w:uiPriority w:val="30"/>
    <w:qFormat/>
    <w:rsid w:val="00C7672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76728"/>
    <w:rPr>
      <w:i/>
      <w:iCs/>
      <w:color w:val="0F4761" w:themeColor="accent1" w:themeShade="BF"/>
    </w:rPr>
  </w:style>
  <w:style w:type="character" w:styleId="IntenseReference">
    <w:name w:val="Intense Reference"/>
    <w:basedOn w:val="DefaultParagraphFont"/>
    <w:uiPriority w:val="32"/>
    <w:qFormat/>
    <w:rsid w:val="00C76728"/>
    <w:rPr>
      <w:b/>
      <w:bCs/>
      <w:smallCaps/>
      <w:color w:val="0F4761" w:themeColor="accent1" w:themeShade="BF"/>
      <w:spacing w:val="5"/>
    </w:rPr>
  </w:style>
  <w:style w:type="table" w:styleId="TableGrid">
    <w:name w:val="Table Grid"/>
    <w:basedOn w:val="TableNormal"/>
    <w:uiPriority w:val="39"/>
    <w:rsid w:val="000A1A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sv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394</TotalTime>
  <Pages>3</Pages>
  <Words>849</Words>
  <Characters>4841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The Christie NHS Foundation Trust</Company>
  <LinksUpToDate>false</LinksUpToDate>
  <CharactersWithSpaces>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Galligandawson Lisa (RBV) NHS Christie Tr</dc:creator>
  <cp:keywords/>
  <dc:description/>
  <cp:lastModifiedBy>Galligandawson Lisa (RBV) NHS Christie Tr</cp:lastModifiedBy>
  <cp:revision>1</cp:revision>
  <dcterms:created xsi:type="dcterms:W3CDTF">2025-04-14T07:46:00Z</dcterms:created>
  <dcterms:modified xsi:type="dcterms:W3CDTF">2025-04-14T14:20:00Z</dcterms:modified>
</cp:coreProperties>
</file>